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83C0FE" w14:textId="77777777" w:rsidR="00CF11C0" w:rsidRDefault="00CF11C0" w:rsidP="00CF11C0">
      <w:pPr>
        <w:jc w:val="center"/>
        <w:rPr>
          <w:rFonts w:ascii="Tahoma" w:hAnsi="Tahoma" w:cs="Tahoma"/>
          <w:b/>
          <w:bCs/>
          <w:sz w:val="28"/>
          <w:szCs w:val="28"/>
        </w:rPr>
      </w:pPr>
    </w:p>
    <w:p w14:paraId="7BA021F1" w14:textId="423A34DE" w:rsidR="00CF11C0" w:rsidRPr="00934977" w:rsidRDefault="00CF11C0" w:rsidP="00CF11C0">
      <w:pPr>
        <w:tabs>
          <w:tab w:val="left" w:pos="9638"/>
        </w:tabs>
        <w:spacing w:line="360" w:lineRule="auto"/>
        <w:ind w:right="-1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 xml:space="preserve">Совершенствование контрактной </w:t>
      </w:r>
      <w:r w:rsidRPr="00934977">
        <w:rPr>
          <w:rFonts w:eastAsia="Times New Roman"/>
          <w:b/>
          <w:bCs/>
          <w:sz w:val="28"/>
          <w:szCs w:val="28"/>
        </w:rPr>
        <w:t>системы Российской Федерации</w:t>
      </w:r>
    </w:p>
    <w:p w14:paraId="49431CED" w14:textId="16F0ED03" w:rsidR="00CF11C0" w:rsidRPr="00934977" w:rsidRDefault="00CF11C0" w:rsidP="00CF11C0">
      <w:pPr>
        <w:tabs>
          <w:tab w:val="left" w:pos="9638"/>
        </w:tabs>
        <w:spacing w:line="360" w:lineRule="auto"/>
        <w:ind w:right="-1"/>
        <w:jc w:val="right"/>
        <w:rPr>
          <w:sz w:val="28"/>
          <w:szCs w:val="28"/>
        </w:rPr>
      </w:pPr>
      <w:r w:rsidRPr="00934977">
        <w:rPr>
          <w:rFonts w:eastAsia="Times New Roman"/>
          <w:sz w:val="28"/>
          <w:szCs w:val="28"/>
        </w:rPr>
        <w:t>Муравьев А.В.</w:t>
      </w:r>
    </w:p>
    <w:p w14:paraId="2EB98C09" w14:textId="77777777" w:rsidR="00CF11C0" w:rsidRPr="00934977" w:rsidRDefault="00CF11C0" w:rsidP="00CF11C0">
      <w:pPr>
        <w:tabs>
          <w:tab w:val="left" w:pos="9638"/>
        </w:tabs>
        <w:spacing w:line="360" w:lineRule="auto"/>
        <w:ind w:right="-1"/>
        <w:jc w:val="center"/>
        <w:rPr>
          <w:sz w:val="28"/>
          <w:szCs w:val="28"/>
        </w:rPr>
      </w:pPr>
    </w:p>
    <w:p w14:paraId="1BCB059C" w14:textId="77777777" w:rsidR="00CF11C0" w:rsidRPr="00CA42E1" w:rsidRDefault="00CF11C0" w:rsidP="00CF11C0">
      <w:pPr>
        <w:pStyle w:val="af3"/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34977">
        <w:rPr>
          <w:rFonts w:ascii="Times New Roman" w:hAnsi="Times New Roman"/>
          <w:sz w:val="28"/>
          <w:szCs w:val="28"/>
        </w:rPr>
        <w:t>ТЕКСТ. ТЕКСТ.</w:t>
      </w:r>
      <w:r w:rsidRPr="00934977">
        <w:rPr>
          <w:sz w:val="28"/>
          <w:szCs w:val="28"/>
        </w:rPr>
        <w:t xml:space="preserve"> </w:t>
      </w:r>
      <w:r w:rsidRPr="00934977">
        <w:rPr>
          <w:rFonts w:ascii="Times New Roman" w:hAnsi="Times New Roman"/>
          <w:sz w:val="28"/>
          <w:szCs w:val="28"/>
        </w:rPr>
        <w:t>ТЕКСТ. ТЕКСТ. ТЕКСТ.</w:t>
      </w:r>
      <w:r w:rsidRPr="00934977">
        <w:rPr>
          <w:sz w:val="28"/>
          <w:szCs w:val="28"/>
        </w:rPr>
        <w:t xml:space="preserve"> </w:t>
      </w:r>
      <w:r w:rsidRPr="00934977">
        <w:rPr>
          <w:rFonts w:ascii="Times New Roman" w:hAnsi="Times New Roman"/>
          <w:sz w:val="28"/>
          <w:szCs w:val="28"/>
        </w:rPr>
        <w:t>ТЕКСТ</w:t>
      </w:r>
      <w:r>
        <w:rPr>
          <w:rFonts w:ascii="Times New Roman" w:hAnsi="Times New Roman"/>
          <w:sz w:val="28"/>
          <w:szCs w:val="28"/>
        </w:rPr>
        <w:t xml:space="preserve">. </w:t>
      </w:r>
      <w:r w:rsidRPr="00A41806">
        <w:rPr>
          <w:rFonts w:ascii="Times New Roman" w:hAnsi="Times New Roman"/>
          <w:sz w:val="28"/>
          <w:szCs w:val="28"/>
        </w:rPr>
        <w:t>ТЕКСТ. ТЕКСТ.</w:t>
      </w:r>
      <w:r>
        <w:rPr>
          <w:sz w:val="28"/>
          <w:szCs w:val="28"/>
        </w:rPr>
        <w:t xml:space="preserve"> </w:t>
      </w:r>
      <w:r w:rsidRPr="00A41806">
        <w:rPr>
          <w:rFonts w:ascii="Times New Roman" w:hAnsi="Times New Roman"/>
          <w:sz w:val="28"/>
          <w:szCs w:val="28"/>
        </w:rPr>
        <w:t xml:space="preserve">ТЕКСТ …. </w:t>
      </w:r>
      <w:r w:rsidRPr="00CA42E1">
        <w:rPr>
          <w:rFonts w:ascii="Times New Roman" w:hAnsi="Times New Roman"/>
          <w:sz w:val="28"/>
          <w:szCs w:val="28"/>
        </w:rPr>
        <w:t>Жизненный цикл документа представлен на рисунке 1.</w:t>
      </w:r>
    </w:p>
    <w:p w14:paraId="56A2E3B9" w14:textId="77777777" w:rsidR="00CF11C0" w:rsidRPr="00CA42E1" w:rsidRDefault="00CF11C0" w:rsidP="00CF11C0">
      <w:pPr>
        <w:pStyle w:val="af3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420716EF" w14:textId="77777777" w:rsidR="00CF11C0" w:rsidRPr="00CA42E1" w:rsidRDefault="00CF11C0" w:rsidP="00CF11C0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CA42E1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E1E0606" wp14:editId="00B67B6E">
            <wp:extent cx="5105400" cy="2619375"/>
            <wp:effectExtent l="0" t="0" r="0" b="9525"/>
            <wp:docPr id="4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2619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507A9CA" w14:textId="7352735F" w:rsidR="00CF11C0" w:rsidRPr="00CA42E1" w:rsidRDefault="00CF11C0" w:rsidP="00CF11C0">
      <w:pPr>
        <w:pStyle w:val="af3"/>
        <w:jc w:val="center"/>
        <w:rPr>
          <w:rFonts w:ascii="Times New Roman" w:hAnsi="Times New Roman"/>
          <w:sz w:val="28"/>
          <w:szCs w:val="28"/>
        </w:rPr>
      </w:pPr>
      <w:r w:rsidRPr="00CA42E1">
        <w:rPr>
          <w:rFonts w:ascii="Times New Roman" w:hAnsi="Times New Roman"/>
          <w:sz w:val="28"/>
          <w:szCs w:val="28"/>
        </w:rPr>
        <w:t>Рис</w:t>
      </w:r>
      <w:r>
        <w:rPr>
          <w:rFonts w:ascii="Times New Roman" w:hAnsi="Times New Roman"/>
          <w:sz w:val="28"/>
          <w:szCs w:val="28"/>
        </w:rPr>
        <w:t>.</w:t>
      </w:r>
      <w:r w:rsidRPr="00CA42E1">
        <w:rPr>
          <w:rFonts w:ascii="Times New Roman" w:hAnsi="Times New Roman"/>
          <w:sz w:val="28"/>
          <w:szCs w:val="28"/>
        </w:rPr>
        <w:t xml:space="preserve"> 1</w:t>
      </w:r>
      <w:r>
        <w:rPr>
          <w:rFonts w:ascii="Times New Roman" w:hAnsi="Times New Roman"/>
          <w:sz w:val="28"/>
          <w:szCs w:val="28"/>
        </w:rPr>
        <w:t>.</w:t>
      </w:r>
      <w:r w:rsidRPr="00CA42E1">
        <w:rPr>
          <w:rFonts w:ascii="Times New Roman" w:hAnsi="Times New Roman"/>
          <w:sz w:val="28"/>
          <w:szCs w:val="28"/>
        </w:rPr>
        <w:t xml:space="preserve"> Жизненный цикл документа</w:t>
      </w:r>
    </w:p>
    <w:p w14:paraId="3209717E" w14:textId="77777777" w:rsidR="00CF11C0" w:rsidRDefault="00CF11C0" w:rsidP="00CF11C0">
      <w:pPr>
        <w:ind w:firstLine="284"/>
        <w:rPr>
          <w:rFonts w:cs="Times New Roman"/>
          <w:sz w:val="28"/>
          <w:szCs w:val="28"/>
        </w:rPr>
      </w:pPr>
    </w:p>
    <w:p w14:paraId="2456B87F" w14:textId="627B2B15" w:rsidR="00CF11C0" w:rsidRPr="00652BD2" w:rsidRDefault="00CF11C0" w:rsidP="00934977">
      <w:pPr>
        <w:spacing w:line="360" w:lineRule="auto"/>
        <w:ind w:firstLine="709"/>
        <w:rPr>
          <w:bCs/>
          <w:iCs/>
          <w:sz w:val="28"/>
          <w:szCs w:val="28"/>
        </w:rPr>
      </w:pP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  <w:r>
        <w:rPr>
          <w:sz w:val="28"/>
          <w:szCs w:val="28"/>
        </w:rPr>
        <w:t>.</w:t>
      </w:r>
      <w:r w:rsidRPr="00FA60D7">
        <w:rPr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  <w:r>
        <w:rPr>
          <w:sz w:val="28"/>
          <w:szCs w:val="28"/>
        </w:rPr>
        <w:t xml:space="preserve">. </w:t>
      </w:r>
      <w:r w:rsidRPr="00A41806">
        <w:rPr>
          <w:rFonts w:cs="Times New Roman"/>
          <w:sz w:val="28"/>
          <w:szCs w:val="28"/>
        </w:rPr>
        <w:t>ТЕКСТ. ТЕКСТ.</w:t>
      </w:r>
      <w:r>
        <w:rPr>
          <w:rFonts w:cs="Times New Roman"/>
          <w:sz w:val="28"/>
          <w:szCs w:val="28"/>
        </w:rPr>
        <w:t xml:space="preserve"> </w:t>
      </w:r>
      <w:r w:rsidRPr="00A41806">
        <w:rPr>
          <w:rFonts w:cs="Times New Roman"/>
          <w:sz w:val="28"/>
          <w:szCs w:val="28"/>
        </w:rPr>
        <w:t>ТЕКСТ</w:t>
      </w:r>
      <w:r w:rsidR="00934977">
        <w:rPr>
          <w:rFonts w:cs="Times New Roman"/>
          <w:sz w:val="28"/>
          <w:szCs w:val="28"/>
        </w:rPr>
        <w:t>. Представленная в таблице 1</w:t>
      </w:r>
      <w:r w:rsidR="00934977" w:rsidRPr="00934977">
        <w:rPr>
          <w:rFonts w:cs="Times New Roman"/>
          <w:sz w:val="28"/>
          <w:szCs w:val="28"/>
        </w:rPr>
        <w:t xml:space="preserve"> классификация отражает многогранность системы госзакупок, которая строится на балансе между экономической эффективностью и антикоррупционными процедурами</w:t>
      </w:r>
      <w:r w:rsidR="00934977">
        <w:rPr>
          <w:rFonts w:cs="Times New Roman"/>
          <w:sz w:val="28"/>
          <w:szCs w:val="28"/>
        </w:rPr>
        <w:t xml:space="preserve"> </w:t>
      </w:r>
      <w:r w:rsidRPr="002851ED">
        <w:rPr>
          <w:bCs/>
          <w:iCs/>
          <w:sz w:val="28"/>
          <w:szCs w:val="28"/>
        </w:rPr>
        <w:t xml:space="preserve"> [</w:t>
      </w:r>
      <w:r>
        <w:rPr>
          <w:bCs/>
          <w:iCs/>
          <w:sz w:val="28"/>
          <w:szCs w:val="28"/>
        </w:rPr>
        <w:t>4</w:t>
      </w:r>
      <w:r w:rsidRPr="002851ED">
        <w:rPr>
          <w:bCs/>
          <w:iCs/>
          <w:sz w:val="28"/>
          <w:szCs w:val="28"/>
        </w:rPr>
        <w:t>, с. 613]</w:t>
      </w:r>
      <w:r w:rsidR="00934977">
        <w:rPr>
          <w:bCs/>
          <w:iCs/>
          <w:sz w:val="28"/>
          <w:szCs w:val="28"/>
        </w:rPr>
        <w:t>.</w:t>
      </w:r>
    </w:p>
    <w:p w14:paraId="2A1B9F40" w14:textId="77777777" w:rsidR="00CF11C0" w:rsidRPr="00746942" w:rsidRDefault="00CF11C0" w:rsidP="00CF11C0">
      <w:pPr>
        <w:spacing w:line="360" w:lineRule="auto"/>
        <w:jc w:val="right"/>
        <w:rPr>
          <w:sz w:val="28"/>
          <w:szCs w:val="28"/>
        </w:rPr>
      </w:pPr>
      <w:r w:rsidRPr="00746942">
        <w:rPr>
          <w:sz w:val="28"/>
          <w:szCs w:val="28"/>
        </w:rPr>
        <w:t xml:space="preserve">Таблица </w:t>
      </w:r>
      <w:r>
        <w:rPr>
          <w:sz w:val="28"/>
          <w:szCs w:val="28"/>
        </w:rPr>
        <w:t>1</w:t>
      </w:r>
    </w:p>
    <w:p w14:paraId="00B932F8" w14:textId="6BAEC16D" w:rsidR="00CF11C0" w:rsidRPr="00746942" w:rsidRDefault="00CF11C0" w:rsidP="00CF11C0">
      <w:pPr>
        <w:spacing w:line="360" w:lineRule="auto"/>
        <w:jc w:val="center"/>
        <w:rPr>
          <w:bCs/>
          <w:sz w:val="28"/>
          <w:szCs w:val="28"/>
        </w:rPr>
      </w:pPr>
      <w:r w:rsidRPr="00746942">
        <w:rPr>
          <w:bCs/>
          <w:sz w:val="28"/>
          <w:szCs w:val="28"/>
        </w:rPr>
        <w:t>Классификация </w:t>
      </w:r>
      <w:r w:rsidR="00934977">
        <w:rPr>
          <w:bCs/>
          <w:sz w:val="28"/>
          <w:szCs w:val="28"/>
        </w:rPr>
        <w:t>государственных закупок</w:t>
      </w:r>
    </w:p>
    <w:tbl>
      <w:tblPr>
        <w:tblW w:w="9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73"/>
        <w:gridCol w:w="2500"/>
        <w:gridCol w:w="4962"/>
      </w:tblGrid>
      <w:tr w:rsidR="00934977" w:rsidRPr="00746942" w14:paraId="5BF99078" w14:textId="1F923D08" w:rsidTr="00D62792">
        <w:tc>
          <w:tcPr>
            <w:tcW w:w="2173" w:type="dxa"/>
          </w:tcPr>
          <w:p w14:paraId="5BE509F7" w14:textId="123EDB18" w:rsidR="00934977" w:rsidRPr="00746942" w:rsidRDefault="00934977" w:rsidP="008041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Критерий классификации</w:t>
            </w:r>
          </w:p>
        </w:tc>
        <w:tc>
          <w:tcPr>
            <w:tcW w:w="2500" w:type="dxa"/>
          </w:tcPr>
          <w:p w14:paraId="7CBC3992" w14:textId="01D9096B" w:rsidR="00934977" w:rsidRPr="00746942" w:rsidRDefault="00934977" w:rsidP="008041E4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Вид закупки</w:t>
            </w:r>
          </w:p>
        </w:tc>
        <w:tc>
          <w:tcPr>
            <w:tcW w:w="4962" w:type="dxa"/>
          </w:tcPr>
          <w:p w14:paraId="483C2D5A" w14:textId="49B5CBCE" w:rsidR="00934977" w:rsidRPr="00746942" w:rsidRDefault="00934977" w:rsidP="008041E4">
            <w:pPr>
              <w:spacing w:line="360" w:lineRule="auto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Краткая характеристика</w:t>
            </w:r>
          </w:p>
        </w:tc>
      </w:tr>
      <w:tr w:rsidR="00D62792" w:rsidRPr="00746942" w14:paraId="63268411" w14:textId="47A4C08B" w:rsidTr="00D62792">
        <w:tc>
          <w:tcPr>
            <w:tcW w:w="2173" w:type="dxa"/>
            <w:vMerge w:val="restart"/>
          </w:tcPr>
          <w:p w14:paraId="73D12FB6" w14:textId="5B42E635" w:rsidR="00D62792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способу определения поставщика</w:t>
            </w:r>
          </w:p>
        </w:tc>
        <w:tc>
          <w:tcPr>
            <w:tcW w:w="2500" w:type="dxa"/>
          </w:tcPr>
          <w:p w14:paraId="5D856FFF" w14:textId="6E920DAB" w:rsidR="00D62792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Конкурентные</w:t>
            </w:r>
          </w:p>
        </w:tc>
        <w:tc>
          <w:tcPr>
            <w:tcW w:w="4962" w:type="dxa"/>
          </w:tcPr>
          <w:p w14:paraId="167B6F16" w14:textId="30EE766D" w:rsidR="00D62792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 w:rsidRPr="00D62792">
              <w:rPr>
                <w:sz w:val="28"/>
                <w:szCs w:val="28"/>
              </w:rPr>
              <w:t>Аукционы, конкурсы, запросы котировок/предложений. Предполагают соревнование между участниками.</w:t>
            </w:r>
          </w:p>
        </w:tc>
      </w:tr>
      <w:tr w:rsidR="00D62792" w:rsidRPr="00746942" w14:paraId="4335D90F" w14:textId="77777777" w:rsidTr="00D62792">
        <w:tc>
          <w:tcPr>
            <w:tcW w:w="2173" w:type="dxa"/>
            <w:vMerge/>
          </w:tcPr>
          <w:p w14:paraId="3E3D7A5B" w14:textId="77777777" w:rsidR="00D62792" w:rsidRDefault="00D62792" w:rsidP="008041E4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500" w:type="dxa"/>
          </w:tcPr>
          <w:p w14:paraId="578BDA23" w14:textId="22EB504C" w:rsidR="00D62792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Неконкурентные</w:t>
            </w:r>
          </w:p>
        </w:tc>
        <w:tc>
          <w:tcPr>
            <w:tcW w:w="4962" w:type="dxa"/>
          </w:tcPr>
          <w:p w14:paraId="2B3C4BD4" w14:textId="45B2CCFC" w:rsidR="00D62792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 w:rsidRPr="00D62792">
              <w:rPr>
                <w:sz w:val="28"/>
                <w:szCs w:val="28"/>
              </w:rPr>
              <w:t>Закупка у единственного поставщика (УЕП). Проводится без торгов в строго оговоренных законом случаях.</w:t>
            </w:r>
          </w:p>
        </w:tc>
      </w:tr>
      <w:tr w:rsidR="00934977" w:rsidRPr="00746942" w14:paraId="643F90D0" w14:textId="186169A0" w:rsidTr="00D62792">
        <w:tc>
          <w:tcPr>
            <w:tcW w:w="2173" w:type="dxa"/>
          </w:tcPr>
          <w:p w14:paraId="57A578BC" w14:textId="5E1FCD8B" w:rsidR="00934977" w:rsidRPr="00746942" w:rsidRDefault="00934977" w:rsidP="008041E4">
            <w:pPr>
              <w:spacing w:line="360" w:lineRule="auto"/>
              <w:rPr>
                <w:sz w:val="28"/>
                <w:szCs w:val="28"/>
              </w:rPr>
            </w:pPr>
            <w:r w:rsidRPr="00746942">
              <w:rPr>
                <w:sz w:val="28"/>
                <w:szCs w:val="28"/>
              </w:rPr>
              <w:t xml:space="preserve">По </w:t>
            </w:r>
            <w:r w:rsidR="00D62792">
              <w:rPr>
                <w:sz w:val="28"/>
                <w:szCs w:val="28"/>
              </w:rPr>
              <w:t>уровню регулирования</w:t>
            </w:r>
          </w:p>
        </w:tc>
        <w:tc>
          <w:tcPr>
            <w:tcW w:w="2500" w:type="dxa"/>
          </w:tcPr>
          <w:p w14:paraId="13DEC530" w14:textId="049BC21F" w:rsidR="00934977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….</w:t>
            </w:r>
          </w:p>
        </w:tc>
        <w:tc>
          <w:tcPr>
            <w:tcW w:w="4962" w:type="dxa"/>
          </w:tcPr>
          <w:p w14:paraId="6C1DCF4D" w14:textId="7C6879BC" w:rsidR="00934977" w:rsidRPr="00746942" w:rsidRDefault="00D62792" w:rsidP="008041E4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……</w:t>
            </w:r>
          </w:p>
        </w:tc>
      </w:tr>
    </w:tbl>
    <w:p w14:paraId="75A36C40" w14:textId="77777777" w:rsidR="00CF11C0" w:rsidRPr="00746942" w:rsidRDefault="00CF11C0" w:rsidP="00CF11C0">
      <w:pPr>
        <w:spacing w:line="360" w:lineRule="auto"/>
        <w:ind w:firstLine="709"/>
        <w:jc w:val="both"/>
        <w:rPr>
          <w:sz w:val="28"/>
          <w:szCs w:val="28"/>
        </w:rPr>
      </w:pPr>
    </w:p>
    <w:p w14:paraId="65DCCE78" w14:textId="1ED126A6" w:rsidR="00CF11C0" w:rsidRPr="00746942" w:rsidRDefault="00D62792" w:rsidP="00CF11C0">
      <w:pPr>
        <w:spacing w:line="360" w:lineRule="auto"/>
        <w:ind w:firstLine="709"/>
        <w:jc w:val="both"/>
        <w:rPr>
          <w:sz w:val="28"/>
          <w:szCs w:val="28"/>
        </w:rPr>
      </w:pPr>
      <w:r w:rsidRPr="00934977">
        <w:rPr>
          <w:sz w:val="28"/>
          <w:szCs w:val="28"/>
        </w:rPr>
        <w:t>ТЕКСТ. ТЕКСТ. ТЕКСТ. ТЕКСТ. ТЕКСТ. ТЕКСТ</w:t>
      </w:r>
      <w:r>
        <w:rPr>
          <w:sz w:val="28"/>
          <w:szCs w:val="28"/>
        </w:rPr>
        <w:t xml:space="preserve">. </w:t>
      </w:r>
      <w:r w:rsidRPr="00A41806">
        <w:rPr>
          <w:sz w:val="28"/>
          <w:szCs w:val="28"/>
        </w:rPr>
        <w:t>ТЕКСТ. ТЕКСТ.</w:t>
      </w:r>
      <w:r>
        <w:rPr>
          <w:sz w:val="28"/>
          <w:szCs w:val="28"/>
        </w:rPr>
        <w:t xml:space="preserve"> </w:t>
      </w:r>
      <w:r w:rsidRPr="00A41806">
        <w:rPr>
          <w:sz w:val="28"/>
          <w:szCs w:val="28"/>
        </w:rPr>
        <w:t>ТЕКСТ</w:t>
      </w:r>
      <w:r>
        <w:rPr>
          <w:sz w:val="28"/>
          <w:szCs w:val="28"/>
        </w:rPr>
        <w:t>.</w:t>
      </w:r>
    </w:p>
    <w:p w14:paraId="62E9CC53" w14:textId="458873D9" w:rsidR="00CF11C0" w:rsidRDefault="00CF11C0" w:rsidP="00CF11C0">
      <w:pPr>
        <w:pStyle w:val="11"/>
        <w:spacing w:before="0" w:after="0" w:line="336" w:lineRule="auto"/>
        <w:jc w:val="center"/>
        <w:rPr>
          <w:sz w:val="28"/>
          <w:szCs w:val="28"/>
        </w:rPr>
      </w:pPr>
    </w:p>
    <w:p w14:paraId="5044404F" w14:textId="77777777" w:rsidR="00CF11C0" w:rsidRPr="00196AEC" w:rsidRDefault="00CF11C0" w:rsidP="00CF11C0">
      <w:pPr>
        <w:spacing w:line="360" w:lineRule="auto"/>
        <w:jc w:val="center"/>
        <w:rPr>
          <w:b/>
          <w:sz w:val="28"/>
          <w:szCs w:val="28"/>
        </w:rPr>
      </w:pPr>
      <w:r w:rsidRPr="00196AEC">
        <w:rPr>
          <w:b/>
          <w:sz w:val="28"/>
          <w:szCs w:val="28"/>
        </w:rPr>
        <w:t>Список использованной литературы</w:t>
      </w:r>
    </w:p>
    <w:p w14:paraId="3407BA7E" w14:textId="63E72F56" w:rsidR="00CF11C0" w:rsidRDefault="00934977" w:rsidP="0093497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934977">
        <w:rPr>
          <w:sz w:val="28"/>
          <w:szCs w:val="28"/>
        </w:rPr>
        <w:t>Федеральный закон от 29.12.2012 № 275-ФЗ «О государственном оборонном заказе» (последняя редакция) // КонсультантПлюс [Электронный ресурс]. URL: https://www.consultant.ru/document/cons_doc_LAW_140175/</w:t>
      </w:r>
      <w:r>
        <w:rPr>
          <w:sz w:val="28"/>
          <w:szCs w:val="28"/>
        </w:rPr>
        <w:br/>
      </w:r>
      <w:r w:rsidRPr="00934977">
        <w:rPr>
          <w:sz w:val="28"/>
          <w:szCs w:val="28"/>
        </w:rPr>
        <w:t>?</w:t>
      </w:r>
      <w:proofErr w:type="spellStart"/>
      <w:r w:rsidRPr="00934977">
        <w:rPr>
          <w:sz w:val="28"/>
          <w:szCs w:val="28"/>
        </w:rPr>
        <w:t>ysclid</w:t>
      </w:r>
      <w:proofErr w:type="spellEnd"/>
      <w:r w:rsidRPr="00934977">
        <w:rPr>
          <w:sz w:val="28"/>
          <w:szCs w:val="28"/>
        </w:rPr>
        <w:t>=mrnl1d4ro7292109245  (дата обращения: 18.06.2026).</w:t>
      </w:r>
    </w:p>
    <w:p w14:paraId="499C4E3F" w14:textId="664937D3" w:rsidR="00D62792" w:rsidRPr="00D62792" w:rsidRDefault="00D62792" w:rsidP="00D62792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62792">
        <w:rPr>
          <w:rFonts w:cs="Times New Roman"/>
          <w:b/>
          <w:bCs/>
          <w:sz w:val="28"/>
          <w:szCs w:val="28"/>
        </w:rPr>
        <w:t xml:space="preserve">2. </w:t>
      </w:r>
      <w:r w:rsidRPr="00D62792">
        <w:rPr>
          <w:rFonts w:cs="Times New Roman"/>
          <w:sz w:val="28"/>
          <w:szCs w:val="28"/>
        </w:rPr>
        <w:t xml:space="preserve">Муравьев, А. В. Совершенствование конкурсных процедур по размещению государственного заказа / А. В. Муравьев. – Курск : ЗАО «Университетская книга», 2025. – 103 с. </w:t>
      </w:r>
    </w:p>
    <w:p w14:paraId="0C72B436" w14:textId="7DEBAF60" w:rsidR="00D62792" w:rsidRDefault="00D62792" w:rsidP="00D62792">
      <w:pPr>
        <w:spacing w:line="360" w:lineRule="auto"/>
        <w:ind w:firstLine="709"/>
        <w:jc w:val="both"/>
        <w:rPr>
          <w:rFonts w:cs="Times New Roman"/>
          <w:sz w:val="28"/>
          <w:szCs w:val="28"/>
        </w:rPr>
      </w:pPr>
      <w:r w:rsidRPr="00D62792">
        <w:rPr>
          <w:rFonts w:cs="Times New Roman"/>
          <w:sz w:val="28"/>
          <w:szCs w:val="28"/>
        </w:rPr>
        <w:t>3. Муравьев, А. В. Информационные системы управления городским хозяйством: вызовы и перспективы цифровой трансформации / А. В. Муравьев // Экономика, управление и финансы: новые подходы и решения : Тезисы докладов и выступлений II Всероссийской (с международным участием) научно-практической конференции, Донецк, 11–12 февраля 2026 года. – Донецк: ФГБОУ ВО «Донецкий государственный университет», 2026. – С. 558-563.</w:t>
      </w:r>
    </w:p>
    <w:sectPr w:rsidR="00D62792" w:rsidSect="0084197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4B1A1" w14:textId="77777777" w:rsidR="00BE43AA" w:rsidRDefault="00BE43AA" w:rsidP="00841976">
      <w:r>
        <w:separator/>
      </w:r>
    </w:p>
  </w:endnote>
  <w:endnote w:type="continuationSeparator" w:id="0">
    <w:p w14:paraId="63762EFE" w14:textId="77777777" w:rsidR="00BE43AA" w:rsidRDefault="00BE43AA" w:rsidP="008419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AB0BCC" w14:textId="77777777" w:rsidR="00BE43AA" w:rsidRDefault="00BE43AA" w:rsidP="00841976">
      <w:r>
        <w:separator/>
      </w:r>
    </w:p>
  </w:footnote>
  <w:footnote w:type="continuationSeparator" w:id="0">
    <w:p w14:paraId="1FC82383" w14:textId="77777777" w:rsidR="00BE43AA" w:rsidRDefault="00BE43AA" w:rsidP="008419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324F5"/>
    <w:multiLevelType w:val="hybridMultilevel"/>
    <w:tmpl w:val="01546F74"/>
    <w:lvl w:ilvl="0" w:tplc="C91606DC">
      <w:start w:val="1"/>
      <w:numFmt w:val="decimal"/>
      <w:lvlText w:val="%1.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04599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976"/>
    <w:rsid w:val="00004468"/>
    <w:rsid w:val="000729A3"/>
    <w:rsid w:val="000D6AC2"/>
    <w:rsid w:val="00245EDC"/>
    <w:rsid w:val="002506CD"/>
    <w:rsid w:val="003B7D74"/>
    <w:rsid w:val="003C65DB"/>
    <w:rsid w:val="00402AB6"/>
    <w:rsid w:val="00540868"/>
    <w:rsid w:val="00543306"/>
    <w:rsid w:val="006E5980"/>
    <w:rsid w:val="006F3001"/>
    <w:rsid w:val="00700A81"/>
    <w:rsid w:val="007C69B0"/>
    <w:rsid w:val="00841976"/>
    <w:rsid w:val="00934977"/>
    <w:rsid w:val="00A31295"/>
    <w:rsid w:val="00A91EC3"/>
    <w:rsid w:val="00B750F0"/>
    <w:rsid w:val="00BD0787"/>
    <w:rsid w:val="00BE43AA"/>
    <w:rsid w:val="00C80054"/>
    <w:rsid w:val="00C81626"/>
    <w:rsid w:val="00CF11C0"/>
    <w:rsid w:val="00D62792"/>
    <w:rsid w:val="00E3128B"/>
    <w:rsid w:val="00E768BB"/>
    <w:rsid w:val="00EE0376"/>
    <w:rsid w:val="00F63B15"/>
    <w:rsid w:val="00FD10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8507B"/>
  <w15:chartTrackingRefBased/>
  <w15:docId w15:val="{4E261BB1-3F34-4BE7-B488-F58CA4AC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Microsoft Sans Serif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0A81"/>
    <w:pPr>
      <w:spacing w:after="0" w:line="240" w:lineRule="auto"/>
    </w:pPr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729A3"/>
    <w:pPr>
      <w:keepNext/>
      <w:keepLines/>
      <w:spacing w:line="360" w:lineRule="auto"/>
      <w:ind w:firstLine="709"/>
      <w:outlineLvl w:val="0"/>
    </w:pPr>
    <w:rPr>
      <w:rFonts w:eastAsiaTheme="majorEastAsia" w:cstheme="majorBidi"/>
      <w:b/>
      <w:color w:val="000000" w:themeColor="text1"/>
      <w:sz w:val="28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419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4197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4197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4197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4197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4197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4197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4197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0729A3"/>
    <w:rPr>
      <w:rFonts w:ascii="Times New Roman" w:eastAsiaTheme="majorEastAsia" w:hAnsi="Times New Roman" w:cstheme="majorBidi"/>
      <w:b/>
      <w:color w:val="000000" w:themeColor="text1"/>
      <w:sz w:val="28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4197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8"/>
      <w:szCs w:val="28"/>
      <w:lang w:eastAsia="ru-RU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841976"/>
    <w:rPr>
      <w:rFonts w:eastAsiaTheme="majorEastAsia" w:cstheme="majorBidi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841976"/>
    <w:rPr>
      <w:rFonts w:eastAsiaTheme="majorEastAsia" w:cstheme="majorBidi"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841976"/>
    <w:rPr>
      <w:rFonts w:eastAsiaTheme="majorEastAsia" w:cstheme="majorBidi"/>
      <w:i/>
      <w:iCs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841976"/>
    <w:rPr>
      <w:rFonts w:eastAsiaTheme="majorEastAsia" w:cstheme="majorBidi"/>
      <w:color w:val="595959" w:themeColor="text1" w:themeTint="A6"/>
      <w:kern w:val="0"/>
      <w:sz w:val="24"/>
      <w:szCs w:val="24"/>
      <w:lang w:eastAsia="ru-RU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841976"/>
    <w:rPr>
      <w:rFonts w:eastAsiaTheme="majorEastAsia" w:cstheme="majorBidi"/>
      <w:i/>
      <w:iCs/>
      <w:color w:val="272727" w:themeColor="text1" w:themeTint="D8"/>
      <w:kern w:val="0"/>
      <w:sz w:val="24"/>
      <w:szCs w:val="24"/>
      <w:lang w:eastAsia="ru-RU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841976"/>
    <w:rPr>
      <w:rFonts w:eastAsiaTheme="majorEastAsia" w:cstheme="majorBidi"/>
      <w:color w:val="272727" w:themeColor="text1" w:themeTint="D8"/>
      <w:kern w:val="0"/>
      <w:sz w:val="24"/>
      <w:szCs w:val="24"/>
      <w:lang w:eastAsia="ru-RU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841976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4197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841976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41976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ru-RU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84197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41976"/>
    <w:rPr>
      <w:rFonts w:ascii="Times New Roman" w:hAnsi="Times New Roman" w:cs="Microsoft Sans Serif"/>
      <w:i/>
      <w:iCs/>
      <w:color w:val="404040" w:themeColor="text1" w:themeTint="BF"/>
      <w:kern w:val="0"/>
      <w:sz w:val="24"/>
      <w:szCs w:val="24"/>
      <w:lang w:eastAsia="ru-RU"/>
      <w14:ligatures w14:val="none"/>
    </w:rPr>
  </w:style>
  <w:style w:type="paragraph" w:styleId="a7">
    <w:name w:val="List Paragraph"/>
    <w:basedOn w:val="a"/>
    <w:uiPriority w:val="34"/>
    <w:qFormat/>
    <w:rsid w:val="0084197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4197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4197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41976"/>
    <w:rPr>
      <w:rFonts w:ascii="Times New Roman" w:hAnsi="Times New Roman" w:cs="Microsoft Sans Serif"/>
      <w:i/>
      <w:iCs/>
      <w:color w:val="2F5496" w:themeColor="accent1" w:themeShade="BF"/>
      <w:kern w:val="0"/>
      <w:sz w:val="24"/>
      <w:szCs w:val="24"/>
      <w:lang w:eastAsia="ru-RU"/>
      <w14:ligatures w14:val="none"/>
    </w:rPr>
  </w:style>
  <w:style w:type="character" w:styleId="ab">
    <w:name w:val="Intense Reference"/>
    <w:basedOn w:val="a0"/>
    <w:uiPriority w:val="32"/>
    <w:qFormat/>
    <w:rsid w:val="00841976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paragraph" w:styleId="ae">
    <w:name w:val="footer"/>
    <w:basedOn w:val="a"/>
    <w:link w:val="af"/>
    <w:uiPriority w:val="99"/>
    <w:unhideWhenUsed/>
    <w:rsid w:val="00841976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41976"/>
    <w:rPr>
      <w:rFonts w:ascii="Times New Roman" w:hAnsi="Times New Roman" w:cs="Microsoft Sans Serif"/>
      <w:color w:val="000000"/>
      <w:kern w:val="0"/>
      <w:sz w:val="24"/>
      <w:szCs w:val="24"/>
      <w:lang w:eastAsia="ru-RU"/>
      <w14:ligatures w14:val="none"/>
    </w:rPr>
  </w:style>
  <w:style w:type="table" w:styleId="af0">
    <w:name w:val="Table Grid"/>
    <w:basedOn w:val="a1"/>
    <w:uiPriority w:val="39"/>
    <w:rsid w:val="008419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4197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841976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41976"/>
    <w:rPr>
      <w:color w:val="605E5C"/>
      <w:shd w:val="clear" w:color="auto" w:fill="E1DFDD"/>
    </w:rPr>
  </w:style>
  <w:style w:type="table" w:styleId="-63">
    <w:name w:val="Grid Table 6 Colorful Accent 3"/>
    <w:basedOn w:val="a1"/>
    <w:uiPriority w:val="51"/>
    <w:rsid w:val="00B750F0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11">
    <w:name w:val="Обычный1"/>
    <w:rsid w:val="00CF11C0"/>
    <w:pPr>
      <w:spacing w:before="100" w:after="100" w:line="240" w:lineRule="auto"/>
    </w:pPr>
    <w:rPr>
      <w:rFonts w:ascii="Times New Roman" w:eastAsia="Times New Roman" w:hAnsi="Times New Roman" w:cs="Times New Roman"/>
      <w:snapToGrid w:val="0"/>
      <w:kern w:val="0"/>
      <w:sz w:val="24"/>
      <w:szCs w:val="20"/>
      <w:lang w:eastAsia="ru-RU"/>
      <w14:ligatures w14:val="none"/>
    </w:rPr>
  </w:style>
  <w:style w:type="paragraph" w:styleId="af3">
    <w:name w:val="No Spacing"/>
    <w:uiPriority w:val="1"/>
    <w:qFormat/>
    <w:rsid w:val="00CF11C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Муравьев</dc:creator>
  <cp:keywords/>
  <dc:description/>
  <cp:lastModifiedBy>Андрей Муравьев</cp:lastModifiedBy>
  <cp:revision>2</cp:revision>
  <dcterms:created xsi:type="dcterms:W3CDTF">2026-08-21T09:03:00Z</dcterms:created>
  <dcterms:modified xsi:type="dcterms:W3CDTF">2026-08-21T09:03:00Z</dcterms:modified>
</cp:coreProperties>
</file>